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2783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</w:p>
    <w:p w14:paraId="5581877C" w14:textId="77777777" w:rsidR="007B6E25" w:rsidRPr="007B6E25" w:rsidRDefault="007B6E25" w:rsidP="007B6E25">
      <w:pPr>
        <w:ind w:firstLine="0"/>
        <w:jc w:val="center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Zasady tworzenia przypisów</w:t>
      </w:r>
    </w:p>
    <w:p w14:paraId="6537710B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1. Monografia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: inicjał imienia i nazwisko autora (kapitalikami), tytuł dzieła kursywą, tom (jeśli występuje), miejsce i rok wydania, numer przywoływanej strony ze znakiem „s.”, np.:</w:t>
      </w:r>
    </w:p>
    <w:p w14:paraId="1AF89A66" w14:textId="77777777" w:rsidR="007B6E25" w:rsidRPr="007B6E25" w:rsidRDefault="007B6E25" w:rsidP="007B6E25">
      <w:pPr>
        <w:ind w:left="708" w:firstLine="0"/>
        <w:rPr>
          <w:rFonts w:cs="Times New Roman"/>
          <w:i/>
          <w:iCs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a/ </w:t>
      </w: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 xml:space="preserve">B. </w:t>
      </w:r>
      <w:proofErr w:type="spellStart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Szewczul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Troska Kościoła o zachowanie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patrimonium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przez instytuty życia konsekrowanego na podstawie dokumentów kościelnych z lat 1917-1996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, Warszawa 2002, s. 33.</w:t>
      </w:r>
    </w:p>
    <w:p w14:paraId="4E480801" w14:textId="77777777" w:rsidR="007B6E25" w:rsidRPr="007B6E25" w:rsidRDefault="007B6E25" w:rsidP="007B6E25">
      <w:pPr>
        <w:ind w:left="708"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b/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Księga pamiątkowa Wydziału Prawa Kanonicznego ATK/UKSW 1954-2004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red. J.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Wroceński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B.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Szewczul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>. S. Kobiałka, Warszawa 2005, s. 15.</w:t>
      </w:r>
    </w:p>
    <w:p w14:paraId="3C67FD1C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</w:p>
    <w:p w14:paraId="7C65E07A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2. Rozdział w publikacji zbiorowej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: przed tytułem publikacji i jej redaktorem należy podać inicjał imienia i nazwisko autora (kapitalikami), tytuł przywoływanego rozdziału (kursywą), „w:” (bez nawiasów), tytuł dzieła zbiorowego (bez kursywy), po skrócie „red.” inicjały imion i nazwiska redaktorów, miejsce i rok wydania, strony, np.:</w:t>
      </w:r>
    </w:p>
    <w:p w14:paraId="6B61A932" w14:textId="77777777" w:rsidR="007B6E25" w:rsidRPr="007B6E25" w:rsidRDefault="007B6E25" w:rsidP="007B6E25">
      <w:pPr>
        <w:ind w:left="708"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a/ </w:t>
      </w: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 xml:space="preserve">J. </w:t>
      </w:r>
      <w:proofErr w:type="spellStart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Wroceński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Pozycja prezbiterium w Kościele partykularnym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, w: Kościół partykularny w Kodeksie Jana Pawła II, red. J. Krukowski, M. Sitarz, Lublin 2004, s. 91-114.</w:t>
      </w:r>
    </w:p>
    <w:p w14:paraId="1CA4CD31" w14:textId="77777777" w:rsidR="007B6E25" w:rsidRPr="007B6E25" w:rsidRDefault="007B6E25" w:rsidP="007B6E25">
      <w:pPr>
        <w:ind w:left="708"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b/ </w:t>
      </w: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M. Stokłosa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Prawne formy definitywnego wystąpienia z instytutu zakonnego, 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w: «Ars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boni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et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aequi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>».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Księga pamiątkowa dedykowana Księdzu Profesorowi Remigiuszowi Sobańskiemu z okazji osiemdziesiątej rocznicy urodzin, red. J.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Wroceński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>, H. Pietrzak, Warszawa 2010, s. 501-524.</w:t>
      </w:r>
    </w:p>
    <w:p w14:paraId="7960852C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06E1E7EB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3. Artykuł: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inicjał imienia i nazwisko autora (kapitalikami), tytuł artykułu kursywą, tytuł czasopisma (w pełnym brzmieniu i bez cudzysłowu), rocznik, rok wydania w nawiasie, numer czasopisma w danym roku lub zeszytu, numer przywoływanych stron, np.:</w:t>
      </w:r>
    </w:p>
    <w:p w14:paraId="238ACA76" w14:textId="77777777" w:rsidR="007B6E25" w:rsidRPr="007B6E25" w:rsidRDefault="007B6E25" w:rsidP="007B6E25">
      <w:pPr>
        <w:ind w:left="708" w:firstLine="0"/>
        <w:rPr>
          <w:rFonts w:cs="Times New Roman"/>
          <w:i/>
          <w:iCs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M. Stokłosa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Utrata przynależności do stanu duchownego na podstawie specjalnych uprawnień przyznanych Kongregacji ds. Duchowieństwa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, Prawo Kanoniczne 54(2011), nr 1-2, s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. 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43-75.</w:t>
      </w:r>
    </w:p>
    <w:p w14:paraId="1E85CB2A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0DCFC9E0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lastRenderedPageBreak/>
        <w:t>4. Orzeczenia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: nazwa orzeczenia, nazwa organu, który je wydał, data wydania, sygnatura akt oraz (jeśli orzeczenie było publikowane) wskazanie miejsca publikacji i numerów stron, np.:</w:t>
      </w:r>
    </w:p>
    <w:p w14:paraId="77805204" w14:textId="77777777" w:rsidR="007B6E25" w:rsidRPr="007B6E25" w:rsidRDefault="007B6E25" w:rsidP="007B6E25">
      <w:pPr>
        <w:ind w:left="708"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>Wyrok Trybunału Konstytucyjnego z dnia 2 grudnia 2009 r., U 10/07, OTK 2009, Nr 11 A, poz. 163.</w:t>
      </w:r>
    </w:p>
    <w:p w14:paraId="10D753C6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2FB59132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5. Akty prawne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: pełen tytuł (jeśli nie został podany w tekście), miejsce publikacji, nazwy kodeksów, ustaw oraz ich skróty (małymi literami). Traktaty, konwencje itp. wielką literą piszemy wyraz rozpoczynający tytuł, np.:</w:t>
      </w:r>
    </w:p>
    <w:p w14:paraId="639002D4" w14:textId="77777777" w:rsidR="007B6E25" w:rsidRPr="007B6E25" w:rsidRDefault="007B6E25" w:rsidP="007B6E25">
      <w:pPr>
        <w:ind w:left="708"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>a/ Konkordat między Stolicą Apostolską i Rzecząpospolitą Polską podpisany dnia 28 lipca 1993 r., Dz. U. z 1998 r., Nr 51, poz. 318.</w:t>
      </w:r>
    </w:p>
    <w:p w14:paraId="26C96CCA" w14:textId="77777777" w:rsidR="007B6E25" w:rsidRPr="007B6E25" w:rsidRDefault="007B6E25" w:rsidP="007B6E25">
      <w:pPr>
        <w:ind w:left="708"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b/ Ustawa z dnia 17 maja 1989 r. o gwarancjach wolności sumienia i wyznania, Dz. U. z 2005 r., Nr 231, poz. 1965 z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późn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>. zm.</w:t>
      </w:r>
    </w:p>
    <w:p w14:paraId="185F38D5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</w:p>
    <w:p w14:paraId="181406BE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6. Publikacje internetowe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: w przypisie podać autora i tytuł publikacji, adres strony www z datą dostępu do niej, np.</w:t>
      </w:r>
    </w:p>
    <w:p w14:paraId="535365D0" w14:textId="77777777" w:rsidR="007B6E25" w:rsidRPr="007B6E25" w:rsidRDefault="007B6E25" w:rsidP="007B6E25">
      <w:pPr>
        <w:ind w:left="708" w:firstLine="0"/>
        <w:rPr>
          <w:rFonts w:cs="Times New Roman"/>
          <w:i/>
          <w:iCs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K. Dębowska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Kardynał Stefan Wyszyński, Prymas Polski a zakony żeńskie (KWPŻZZ, Warszawa, 24.04. 2001)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hyperlink r:id="rId4" w:history="1">
        <w:r w:rsidRPr="007B6E25">
          <w:rPr>
            <w:rFonts w:cs="Times New Roman"/>
            <w:color w:val="0563C1"/>
            <w:kern w:val="2"/>
            <w:sz w:val="26"/>
            <w:szCs w:val="24"/>
            <w:u w:val="single"/>
            <w14:ligatures w14:val="standardContextual"/>
          </w:rPr>
          <w:t>http://www.zakony-zenskie.pl/index.php/biblioteka/46-konferencje-referaty-artykuy-teksty/123--kardyna-stefan-wyszyski-prymas-polski-a-zakony-eskie-kwpzz-warszawa-24-04-2001</w:t>
        </w:r>
      </w:hyperlink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- [dostęp: 10.07.2013].</w:t>
      </w:r>
    </w:p>
    <w:p w14:paraId="4175BEA5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5D1F90DD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7. Tłumaczenie pracy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: po tytule książki lub artykułu podać inicjał imienia i nazwisko tłumacza poprzedzony skrótem „tłum.” i odwołaniem do języka oryginału. np.:</w:t>
      </w:r>
    </w:p>
    <w:p w14:paraId="1F054EB8" w14:textId="77777777" w:rsidR="007B6E25" w:rsidRPr="007B6E25" w:rsidRDefault="007B6E25" w:rsidP="007B6E25">
      <w:pPr>
        <w:ind w:left="708"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 xml:space="preserve">E. </w:t>
      </w:r>
      <w:proofErr w:type="spellStart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Gambari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Życie zakonne po Soborze Watykańskim II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, tłum. z włos. J. E. Bielecki, Kraków 1998, s. 38.</w:t>
      </w:r>
    </w:p>
    <w:p w14:paraId="29A9B9EB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6F4E3460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8. Jeżeli praca była już cytowana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w innym przypisie, przy jej kolejnym przywoływaniu należy umieścić inicjał imienia i nazwisko autora, jednoznaczny skrót tytułu, numer powoływanej strony lub zasygnalizować odpowiednio skrótami art. cyt. lub dz. cyt. umieszczanymi po nazwisku autora, jeśli wyżej cytowana była tylko jedna 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lastRenderedPageBreak/>
        <w:t>pozycja tego autora, bądź po nazwisku i skrócie tytułu - jeśli wyżej cytowane były różne prace tego samego autora.</w:t>
      </w:r>
    </w:p>
    <w:p w14:paraId="263C3612" w14:textId="77777777" w:rsidR="007B6E25" w:rsidRPr="007B6E25" w:rsidRDefault="007B6E25" w:rsidP="007B6E25">
      <w:pPr>
        <w:ind w:left="708"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 xml:space="preserve">J. </w:t>
      </w:r>
      <w:proofErr w:type="spellStart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Kałowski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>, dz. cyt. s. 54.</w:t>
      </w:r>
    </w:p>
    <w:p w14:paraId="6EF3194B" w14:textId="77777777" w:rsidR="007B6E25" w:rsidRPr="007B6E25" w:rsidRDefault="007B6E25" w:rsidP="007B6E25">
      <w:pPr>
        <w:ind w:left="708"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 xml:space="preserve">J. </w:t>
      </w:r>
      <w:proofErr w:type="spellStart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Kałowski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Życie braterskie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…, dz. cyt., s. 54.</w:t>
      </w:r>
    </w:p>
    <w:p w14:paraId="7F1E3A65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Przywoływanie pozycji cytowanej w przypisie bezpośrednio poprzedzającym sygnalizuje się słowem </w:t>
      </w: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Tamże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.</w:t>
      </w:r>
    </w:p>
    <w:p w14:paraId="45B3211D" w14:textId="77777777" w:rsidR="007B6E25" w:rsidRPr="007B6E25" w:rsidRDefault="007B6E25" w:rsidP="007B6E25">
      <w:pPr>
        <w:ind w:firstLine="0"/>
        <w:rPr>
          <w:rFonts w:ascii="Cambria" w:hAnsi="Cambria"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W przypadku przywoływania następujących bezpośrednio po sobie różnych prac tego samego autora, inicjał imienia i nazwisko zastępuje się słowem </w:t>
      </w: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Tenże.</w:t>
      </w:r>
    </w:p>
    <w:p w14:paraId="040A2916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14D6D26A" w14:textId="77777777" w:rsidR="007B6E25" w:rsidRPr="007B6E25" w:rsidRDefault="007B6E25" w:rsidP="007B6E25">
      <w:pPr>
        <w:ind w:firstLine="0"/>
        <w:jc w:val="center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Zasady tworzenia Bibliografii załącznikowej (</w:t>
      </w:r>
      <w:proofErr w:type="spellStart"/>
      <w:r w:rsidRPr="007B6E25">
        <w:rPr>
          <w:rFonts w:cs="Times New Roman"/>
          <w:b/>
          <w:bCs/>
          <w:i/>
          <w:iCs/>
          <w:kern w:val="2"/>
          <w:sz w:val="26"/>
          <w:szCs w:val="24"/>
          <w14:ligatures w14:val="standardContextual"/>
        </w:rPr>
        <w:t>References</w:t>
      </w:r>
      <w:proofErr w:type="spellEnd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)</w:t>
      </w:r>
    </w:p>
    <w:p w14:paraId="1052E070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W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References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należy zamieścić tylko te publikacje, które zostały zacytowane w artykule, z podziałem na „Źródła” i „Literaturę” według następujących zasad:</w:t>
      </w:r>
    </w:p>
    <w:p w14:paraId="5678D771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</w:p>
    <w:p w14:paraId="74EDF113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Źródła:</w:t>
      </w:r>
    </w:p>
    <w:p w14:paraId="67465CBD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Kodeksy prawa kanonicznego</w:t>
      </w:r>
    </w:p>
    <w:p w14:paraId="11609BCD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14:ligatures w14:val="standardContextual"/>
        </w:rPr>
      </w:pP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Codex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Iuris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Canonici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auctoritate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Joannis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Pauli PP. </w:t>
      </w:r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II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promulgatus</w:t>
      </w:r>
      <w:proofErr w:type="spellEnd"/>
      <w:r w:rsidRPr="007B6E25">
        <w:rPr>
          <w:rFonts w:cs="Times New Roman"/>
          <w:kern w:val="2"/>
          <w:sz w:val="26"/>
          <w:szCs w:val="24"/>
          <w:lang w:val="en-US"/>
          <w14:ligatures w14:val="standardContextual"/>
        </w:rPr>
        <w:t xml:space="preserve">, AAS 75 (1983), pars II, s. 1-317. </w:t>
      </w:r>
      <w:r w:rsidRPr="007B6E25">
        <w:rPr>
          <w:rFonts w:cs="Times New Roman"/>
          <w:kern w:val="2"/>
          <w:sz w:val="26"/>
          <w:szCs w:val="26"/>
          <w14:ligatures w14:val="standardContextual"/>
        </w:rPr>
        <w:t xml:space="preserve">Tekst łacińsko – polski: </w:t>
      </w:r>
      <w:r w:rsidRPr="007B6E25">
        <w:rPr>
          <w:rFonts w:cs="Times New Roman"/>
          <w:iCs/>
          <w:kern w:val="2"/>
          <w:sz w:val="26"/>
          <w:szCs w:val="26"/>
          <w14:ligatures w14:val="standardContextual"/>
        </w:rPr>
        <w:t>Kodeks Prawa Kanonicznego promulgowany przez papieża Jana Pawła II w dniu 25 stycznia 1983 roku. Stan prawny na dzień 18 maja 2022 roku. Zaktualizowany przekład na język polski</w:t>
      </w:r>
      <w:r w:rsidRPr="007B6E25">
        <w:rPr>
          <w:rFonts w:cs="Times New Roman"/>
          <w:kern w:val="2"/>
          <w:sz w:val="26"/>
          <w:szCs w:val="26"/>
          <w14:ligatures w14:val="standardContextual"/>
        </w:rPr>
        <w:t>, Poznań 2022.</w:t>
      </w:r>
    </w:p>
    <w:p w14:paraId="4245B27B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:lang w:val="en-US"/>
          <w14:ligatures w14:val="standardContextual"/>
        </w:rPr>
      </w:pPr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Codex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Iuris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Canonici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Pii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 X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Pontificis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Maximi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iussu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digestus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,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Benedicti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Papae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 XV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auctoritate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promulgatus</w:t>
      </w:r>
      <w:proofErr w:type="spellEnd"/>
      <w:r w:rsidRPr="007B6E25">
        <w:rPr>
          <w:rFonts w:cs="Times New Roman"/>
          <w:kern w:val="2"/>
          <w:sz w:val="26"/>
          <w:szCs w:val="24"/>
          <w:lang w:val="en-US"/>
          <w14:ligatures w14:val="standardContextual"/>
        </w:rPr>
        <w:t>, AAS 9/II (1917), s. 2–593. </w:t>
      </w:r>
    </w:p>
    <w:p w14:paraId="06DCFC91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:lang w:val="en-US"/>
          <w14:ligatures w14:val="standardContextual"/>
        </w:rPr>
      </w:pPr>
    </w:p>
    <w:p w14:paraId="66D1FF05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Dokumenty Stolicy Apostolskiej</w:t>
      </w:r>
    </w:p>
    <w:p w14:paraId="21315370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14:ligatures w14:val="standardContextual"/>
        </w:rPr>
      </w:pPr>
      <w:proofErr w:type="spellStart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Concilum</w:t>
      </w:r>
      <w:proofErr w:type="spellEnd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Vaticanum</w:t>
      </w:r>
      <w:proofErr w:type="spellEnd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 xml:space="preserve"> II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Decretum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de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presbyterorum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ministerio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et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vita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Presbyterorum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ordinis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7 XII 1965, AAS 58 (1966), s. 991-1024. Tekst polski: Sobór Watykański II, Dekret o posłudze i życiu kapłanów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Presbyterorum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ordinis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>, 7 XII 1965, w: Tenże,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Konstytucje – Dekrety – Deklaracje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, Poznań 2012, s. 487-517.</w:t>
      </w:r>
    </w:p>
    <w:p w14:paraId="7C5AA362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:lang w:val="it-IT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:lang w:val="it-IT"/>
          <w14:ligatures w14:val="standardContextual"/>
        </w:rPr>
        <w:t>Benedictus XVI</w:t>
      </w:r>
      <w:r w:rsidRPr="007B6E25">
        <w:rPr>
          <w:rFonts w:cs="Times New Roman"/>
          <w:kern w:val="2"/>
          <w:sz w:val="26"/>
          <w:szCs w:val="24"/>
          <w:lang w:val="it-IT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:lang w:val="it-IT"/>
          <w14:ligatures w14:val="standardContextual"/>
        </w:rPr>
        <w:t>Ad Tribunal Rotae Romanae</w:t>
      </w:r>
      <w:r w:rsidRPr="007B6E25">
        <w:rPr>
          <w:rFonts w:cs="Times New Roman"/>
          <w:kern w:val="2"/>
          <w:sz w:val="26"/>
          <w:szCs w:val="24"/>
          <w:lang w:val="it-IT"/>
          <w14:ligatures w14:val="standardContextual"/>
        </w:rPr>
        <w:t>, AAS 98 (2006) cz. 2, s. 135-138.</w:t>
      </w:r>
    </w:p>
    <w:p w14:paraId="3C3AF38B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:lang w:val="it-IT"/>
          <w14:ligatures w14:val="standardContextual"/>
        </w:rPr>
        <w:t>Congregazione per gli Istituti di Vita Consacrata e le Società di Vita Apostolica</w:t>
      </w:r>
      <w:r w:rsidRPr="007B6E25">
        <w:rPr>
          <w:rFonts w:cs="Times New Roman"/>
          <w:kern w:val="2"/>
          <w:sz w:val="26"/>
          <w:szCs w:val="24"/>
          <w:lang w:val="it-IT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:lang w:val="it-IT"/>
          <w14:ligatures w14:val="standardContextual"/>
        </w:rPr>
        <w:t>Ecconomia a servizio del charisma e della misione</w:t>
      </w:r>
      <w:r w:rsidRPr="007B6E25">
        <w:rPr>
          <w:rFonts w:cs="Times New Roman"/>
          <w:kern w:val="2"/>
          <w:sz w:val="26"/>
          <w:szCs w:val="24"/>
          <w:lang w:val="it-IT"/>
          <w14:ligatures w14:val="standardContextual"/>
        </w:rPr>
        <w:t xml:space="preserve">, Città del </w:t>
      </w:r>
      <w:r w:rsidRPr="007B6E25">
        <w:rPr>
          <w:rFonts w:cs="Times New Roman"/>
          <w:kern w:val="2"/>
          <w:sz w:val="26"/>
          <w:szCs w:val="24"/>
          <w:lang w:val="it-IT"/>
          <w14:ligatures w14:val="standardContextual"/>
        </w:rPr>
        <w:lastRenderedPageBreak/>
        <w:t xml:space="preserve">Vaticano 2018. 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Tekst polski: Kongregacja do spraw Instytutów Życia Konsekrowanego i Stowarzyszeń Życia Apostolskiego,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Ekonomia w służbie charyzmatu i misji. Boni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dispensatores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multiformis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gratiae</w:t>
      </w:r>
      <w:proofErr w:type="spellEnd"/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 Dei (1P 4, 10). Ukierunkowania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, Niepokalanów 2019.</w:t>
      </w:r>
    </w:p>
    <w:p w14:paraId="3C9DE899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>Jeśli wykorzystane jest tłumaczenie dokumentu na jęz. polski:</w:t>
      </w:r>
    </w:p>
    <w:p w14:paraId="10F10BE7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:lang w:val="en-US"/>
          <w14:ligatures w14:val="standardContextual"/>
        </w:rPr>
        <w:t>Jan Paweł II</w:t>
      </w:r>
      <w:r w:rsidRPr="007B6E25">
        <w:rPr>
          <w:rFonts w:cs="Times New Roman"/>
          <w:kern w:val="2"/>
          <w:sz w:val="26"/>
          <w:szCs w:val="24"/>
          <w:lang w:val="en-US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:lang w:val="en-US"/>
          <w14:ligatures w14:val="standardContextual"/>
        </w:rPr>
        <w:t>Rosarium Virginis Mariae</w:t>
      </w:r>
      <w:r w:rsidRPr="007B6E25">
        <w:rPr>
          <w:rFonts w:cs="Times New Roman"/>
          <w:kern w:val="2"/>
          <w:sz w:val="26"/>
          <w:szCs w:val="24"/>
          <w:lang w:val="en-US"/>
          <w14:ligatures w14:val="standardContextual"/>
        </w:rPr>
        <w:t xml:space="preserve">. 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List apostolski, Kraków 2002.</w:t>
      </w:r>
    </w:p>
    <w:p w14:paraId="0A6259FD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7A22F3CE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Wyroki Roty Rzymskiej publikowane w „</w:t>
      </w:r>
      <w:proofErr w:type="spellStart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Sacrae</w:t>
      </w:r>
      <w:proofErr w:type="spellEnd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Romanae</w:t>
      </w:r>
      <w:proofErr w:type="spellEnd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Rotae</w:t>
      </w:r>
      <w:proofErr w:type="spellEnd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Decisiones</w:t>
      </w:r>
      <w:proofErr w:type="spellEnd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”</w:t>
      </w:r>
    </w:p>
    <w:p w14:paraId="29F02F2E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Dec c.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Pinto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z 30.07.1969, SRRD 61 (1969), s. 27-38.</w:t>
      </w:r>
    </w:p>
    <w:p w14:paraId="7E4ECF99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307F2342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Wyroki Roty Rzymskiej publikowane w „</w:t>
      </w:r>
      <w:proofErr w:type="spellStart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Romanae</w:t>
      </w:r>
      <w:proofErr w:type="spellEnd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Rotae</w:t>
      </w:r>
      <w:proofErr w:type="spellEnd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Decisiones</w:t>
      </w:r>
      <w:proofErr w:type="spellEnd"/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”</w:t>
      </w:r>
    </w:p>
    <w:p w14:paraId="18786C6D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Dec. c.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Pompedda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z 15.07.1994, RRD 86 (1994), s. 392-402.</w:t>
      </w:r>
    </w:p>
    <w:p w14:paraId="5EE45615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</w:p>
    <w:p w14:paraId="78C73E37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Literatura:</w:t>
      </w:r>
    </w:p>
    <w:p w14:paraId="0EAAB4FA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Opis bibliograficzny książki (jeden autor)</w:t>
      </w:r>
    </w:p>
    <w:p w14:paraId="45ED8B00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:lang w:val="it-IT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:lang w:val="it-IT"/>
          <w14:ligatures w14:val="standardContextual"/>
        </w:rPr>
        <w:t>Marchetta B</w:t>
      </w:r>
      <w:r w:rsidRPr="007B6E25">
        <w:rPr>
          <w:rFonts w:cs="Times New Roman"/>
          <w:kern w:val="2"/>
          <w:sz w:val="26"/>
          <w:szCs w:val="24"/>
          <w:lang w:val="it-IT"/>
          <w14:ligatures w14:val="standardContextual"/>
        </w:rPr>
        <w:t xml:space="preserve">., </w:t>
      </w:r>
      <w:r w:rsidRPr="007B6E25">
        <w:rPr>
          <w:rFonts w:cs="Times New Roman"/>
          <w:i/>
          <w:iCs/>
          <w:kern w:val="2"/>
          <w:sz w:val="26"/>
          <w:szCs w:val="24"/>
          <w:lang w:val="it-IT"/>
          <w14:ligatures w14:val="standardContextual"/>
        </w:rPr>
        <w:t>Scioglimento del matrimonio canonico per inconsumazione</w:t>
      </w:r>
      <w:r w:rsidRPr="007B6E25">
        <w:rPr>
          <w:rFonts w:cs="Times New Roman"/>
          <w:kern w:val="2"/>
          <w:sz w:val="26"/>
          <w:szCs w:val="24"/>
          <w:lang w:val="it-IT"/>
          <w14:ligatures w14:val="standardContextual"/>
        </w:rPr>
        <w:t>, Padova 1981. </w:t>
      </w:r>
    </w:p>
    <w:p w14:paraId="44FA50F9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:lang w:val="it-IT"/>
          <w14:ligatures w14:val="standardContextual"/>
        </w:rPr>
      </w:pPr>
    </w:p>
    <w:p w14:paraId="52012F5B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Opis bibliograficzny książki (więcej niż jeden autor)</w:t>
      </w:r>
    </w:p>
    <w:p w14:paraId="12829A2A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14:ligatures w14:val="standardContextual"/>
        </w:rPr>
      </w:pPr>
      <w:proofErr w:type="spellStart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Dzierżon</w:t>
      </w:r>
      <w:proofErr w:type="spellEnd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 xml:space="preserve"> G., Szymańska K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.,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Wpływ zespołu stresu pourazowego na kanoniczną niezdolność do zawarcia małżeństwa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, Warszawa 2020.</w:t>
      </w:r>
    </w:p>
    <w:p w14:paraId="37610A82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20DD017C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Rozdział w książce</w:t>
      </w:r>
    </w:p>
    <w:p w14:paraId="598EA6DF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14:ligatures w14:val="standardContextual"/>
        </w:rPr>
      </w:pPr>
      <w:proofErr w:type="spellStart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Rozkrut</w:t>
      </w:r>
      <w:proofErr w:type="spellEnd"/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 xml:space="preserve"> T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.,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Biegli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, w: Komentarz do Instrukcji procesowej „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Dignitas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connubii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”, red. T.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Rozkrut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>, Sandomierz 2007.</w:t>
      </w:r>
    </w:p>
    <w:p w14:paraId="50A49506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54F5E31E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Artykuł w wydawnictwie ciągłym</w:t>
      </w:r>
    </w:p>
    <w:p w14:paraId="7816CADD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t>Sobański R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., 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 xml:space="preserve">Udział adwokata w procesie o nieważność małżeństwa,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Ius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</w:t>
      </w:r>
      <w:proofErr w:type="spellStart"/>
      <w:r w:rsidRPr="007B6E25">
        <w:rPr>
          <w:rFonts w:cs="Times New Roman"/>
          <w:kern w:val="2"/>
          <w:sz w:val="26"/>
          <w:szCs w:val="24"/>
          <w14:ligatures w14:val="standardContextual"/>
        </w:rPr>
        <w:t>Matrimoniale</w:t>
      </w:r>
      <w:proofErr w:type="spellEnd"/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 2(1997), s. 125-144.</w:t>
      </w:r>
    </w:p>
    <w:p w14:paraId="1D717FBE" w14:textId="77777777" w:rsidR="007B6E25" w:rsidRPr="007B6E25" w:rsidRDefault="007B6E25" w:rsidP="007B6E25">
      <w:pPr>
        <w:ind w:firstLine="0"/>
        <w:rPr>
          <w:rFonts w:cs="Times New Roman"/>
          <w:b/>
          <w:bCs/>
          <w:kern w:val="2"/>
          <w:sz w:val="26"/>
          <w:szCs w:val="24"/>
          <w14:ligatures w14:val="standardContextual"/>
        </w:rPr>
      </w:pPr>
    </w:p>
    <w:p w14:paraId="263E4E74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b/>
          <w:bCs/>
          <w:kern w:val="2"/>
          <w:sz w:val="26"/>
          <w:szCs w:val="24"/>
          <w14:ligatures w14:val="standardContextual"/>
        </w:rPr>
        <w:t>Dokumenty elektroniczne</w:t>
      </w:r>
    </w:p>
    <w:p w14:paraId="3F5474FC" w14:textId="77777777" w:rsidR="007B6E25" w:rsidRPr="007B6E25" w:rsidRDefault="007B6E25" w:rsidP="007B6E25">
      <w:pPr>
        <w:ind w:left="709" w:hanging="709"/>
        <w:rPr>
          <w:rFonts w:cs="Times New Roman"/>
          <w:kern w:val="2"/>
          <w:sz w:val="26"/>
          <w:szCs w:val="24"/>
          <w14:ligatures w14:val="standardContextual"/>
        </w:rPr>
      </w:pPr>
      <w:r w:rsidRPr="007B6E25">
        <w:rPr>
          <w:rFonts w:cs="Times New Roman"/>
          <w:smallCaps/>
          <w:kern w:val="2"/>
          <w:sz w:val="26"/>
          <w:szCs w:val="24"/>
          <w14:ligatures w14:val="standardContextual"/>
        </w:rPr>
        <w:lastRenderedPageBreak/>
        <w:t>Krajowa Izba Adwokatów Kościelnych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 xml:space="preserve">, </w:t>
      </w:r>
      <w:r w:rsidRPr="007B6E25">
        <w:rPr>
          <w:rFonts w:cs="Times New Roman"/>
          <w:i/>
          <w:iCs/>
          <w:kern w:val="2"/>
          <w:sz w:val="26"/>
          <w:szCs w:val="24"/>
          <w14:ligatures w14:val="standardContextual"/>
        </w:rPr>
        <w:t>Kodeks Etyki Adwokata Kościelnego</w:t>
      </w:r>
      <w:r w:rsidRPr="007B6E25">
        <w:rPr>
          <w:rFonts w:cs="Times New Roman"/>
          <w:kern w:val="2"/>
          <w:sz w:val="26"/>
          <w:szCs w:val="24"/>
          <w14:ligatures w14:val="standardContextual"/>
        </w:rPr>
        <w:t>, https://sites.google.com/site/korpusadwokatowkoscielnych/home/statut-kiak/kodeks-etyki-adwokata-koscielnego [dostęp: 03.01.2021]. </w:t>
      </w:r>
    </w:p>
    <w:p w14:paraId="2618ADE8" w14:textId="77777777" w:rsidR="007B6E25" w:rsidRPr="007B6E25" w:rsidRDefault="007B6E25" w:rsidP="007B6E25">
      <w:pPr>
        <w:ind w:firstLine="0"/>
        <w:rPr>
          <w:rFonts w:cs="Times New Roman"/>
          <w:kern w:val="2"/>
          <w:sz w:val="26"/>
          <w:szCs w:val="24"/>
          <w14:ligatures w14:val="standardContextual"/>
        </w:rPr>
      </w:pPr>
    </w:p>
    <w:sectPr w:rsidR="007B6E25" w:rsidRPr="007B6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25"/>
    <w:rsid w:val="00462BE7"/>
    <w:rsid w:val="007B6E25"/>
    <w:rsid w:val="008502A2"/>
    <w:rsid w:val="00A42F99"/>
    <w:rsid w:val="00D56B6E"/>
    <w:rsid w:val="00F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54DF"/>
  <w15:chartTrackingRefBased/>
  <w15:docId w15:val="{85E283DC-2783-4E7E-A96F-25CA729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theme="minorBidi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58"/>
    <w:pPr>
      <w:spacing w:line="360" w:lineRule="auto"/>
      <w:ind w:firstLine="709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6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E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E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E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E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E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E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E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E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E2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E2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E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E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E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E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E2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E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E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6E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E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E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y-zenskie.pl/index.php/biblioteka/46-konferencje-referaty-artykuy-teksty/123--kardyna-stefan-wyszyski-prymas-polski-a-zakony-eskie-kwpzz-warszawa-24-04-20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975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Domaszk</dc:creator>
  <cp:keywords/>
  <dc:description/>
  <cp:lastModifiedBy>Arkadiusz Domaszk</cp:lastModifiedBy>
  <cp:revision>1</cp:revision>
  <dcterms:created xsi:type="dcterms:W3CDTF">2025-01-23T08:28:00Z</dcterms:created>
  <dcterms:modified xsi:type="dcterms:W3CDTF">2025-01-23T08:30:00Z</dcterms:modified>
</cp:coreProperties>
</file>