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9B545" w14:textId="30EC8B95" w:rsidR="00036A55" w:rsidRPr="00F1362A" w:rsidRDefault="00E3440A" w:rsidP="00DA1696">
      <w:pPr>
        <w:spacing w:after="0" w:line="240" w:lineRule="auto"/>
        <w:ind w:left="0" w:right="4" w:firstLine="0"/>
        <w:jc w:val="right"/>
        <w:rPr>
          <w:rFonts w:eastAsia="Calibri"/>
          <w:i/>
          <w:color w:val="000000"/>
        </w:rPr>
      </w:pPr>
      <w:r w:rsidRPr="00F1362A">
        <w:rPr>
          <w:rFonts w:eastAsia="Calibri"/>
          <w:i/>
          <w:color w:val="000000"/>
        </w:rPr>
        <w:t>Zarządzeni</w:t>
      </w:r>
      <w:r w:rsidR="00330D50" w:rsidRPr="00F1362A">
        <w:rPr>
          <w:rFonts w:eastAsia="Calibri"/>
          <w:i/>
          <w:color w:val="000000"/>
        </w:rPr>
        <w:t>e</w:t>
      </w:r>
      <w:r w:rsidRPr="00F1362A">
        <w:rPr>
          <w:rFonts w:eastAsia="Calibri"/>
          <w:i/>
          <w:color w:val="000000"/>
        </w:rPr>
        <w:t xml:space="preserve"> Nr 74 Rektora UKSW z dnia 5 grudnia 2024 r.</w:t>
      </w:r>
    </w:p>
    <w:p w14:paraId="4D7E4C3F" w14:textId="2BA1FF66" w:rsidR="00330D50" w:rsidRPr="00F1362A" w:rsidRDefault="00330D50" w:rsidP="00DA1696">
      <w:pPr>
        <w:spacing w:after="0" w:line="240" w:lineRule="auto"/>
        <w:ind w:left="0" w:right="4" w:firstLine="0"/>
        <w:jc w:val="right"/>
        <w:rPr>
          <w:i/>
        </w:rPr>
      </w:pPr>
      <w:r w:rsidRPr="00F1362A">
        <w:rPr>
          <w:rFonts w:eastAsia="Calibri"/>
          <w:i/>
          <w:color w:val="000000"/>
        </w:rPr>
        <w:t>Załącznik Nr 3</w:t>
      </w:r>
    </w:p>
    <w:p w14:paraId="0F7BD583" w14:textId="13CE0F2A" w:rsidR="00036A55" w:rsidRPr="00F1362A" w:rsidRDefault="00712945" w:rsidP="00712945">
      <w:pPr>
        <w:spacing w:after="256" w:line="240" w:lineRule="auto"/>
        <w:ind w:left="57" w:firstLine="0"/>
        <w:jc w:val="right"/>
        <w:rPr>
          <w:bCs/>
          <w:iCs/>
        </w:rPr>
      </w:pPr>
      <w:r w:rsidRPr="00F1362A">
        <w:rPr>
          <w:bCs/>
          <w:iCs/>
        </w:rPr>
        <w:t>Ostatnia aktualizacja: 2026-0</w:t>
      </w:r>
      <w:r w:rsidR="00987412" w:rsidRPr="00F1362A">
        <w:rPr>
          <w:bCs/>
          <w:iCs/>
        </w:rPr>
        <w:t>6</w:t>
      </w:r>
      <w:r w:rsidRPr="00F1362A">
        <w:rPr>
          <w:bCs/>
          <w:iCs/>
        </w:rPr>
        <w:t>-0</w:t>
      </w:r>
      <w:r w:rsidR="00987412" w:rsidRPr="00F1362A">
        <w:rPr>
          <w:bCs/>
          <w:iCs/>
        </w:rPr>
        <w:t>5</w:t>
      </w:r>
    </w:p>
    <w:p w14:paraId="40D3A75B" w14:textId="77777777" w:rsidR="007E6F16" w:rsidRDefault="007E6F16" w:rsidP="00EA2202">
      <w:pPr>
        <w:spacing w:after="256" w:line="240" w:lineRule="auto"/>
        <w:ind w:left="57" w:firstLine="0"/>
        <w:jc w:val="right"/>
        <w:rPr>
          <w:bCs/>
          <w:iCs/>
          <w:sz w:val="22"/>
          <w:szCs w:val="22"/>
        </w:rPr>
      </w:pPr>
    </w:p>
    <w:p w14:paraId="1CBAB3F9" w14:textId="04D54161" w:rsidR="00036A55" w:rsidRDefault="00E3440A" w:rsidP="00F1362A">
      <w:pPr>
        <w:spacing w:before="240" w:after="360" w:line="240" w:lineRule="auto"/>
        <w:ind w:left="17" w:hanging="11"/>
        <w:jc w:val="center"/>
        <w:rPr>
          <w:b/>
          <w:bCs/>
        </w:rPr>
      </w:pPr>
      <w:r w:rsidRPr="00EA2202">
        <w:rPr>
          <w:b/>
          <w:bCs/>
        </w:rPr>
        <w:t>Polityka Open Access</w:t>
      </w:r>
    </w:p>
    <w:p w14:paraId="05E86615" w14:textId="77777777" w:rsidR="00987412" w:rsidRPr="00EA2202" w:rsidRDefault="00987412" w:rsidP="00F1362A">
      <w:pPr>
        <w:spacing w:before="240" w:after="360" w:line="240" w:lineRule="auto"/>
        <w:ind w:left="17" w:hanging="11"/>
        <w:jc w:val="center"/>
        <w:rPr>
          <w:b/>
          <w:bCs/>
        </w:rPr>
      </w:pPr>
    </w:p>
    <w:p w14:paraId="455BE6D5" w14:textId="245D1542" w:rsidR="00036A55" w:rsidRDefault="00E3440A" w:rsidP="00DA1696">
      <w:pPr>
        <w:spacing w:line="240" w:lineRule="auto"/>
      </w:pPr>
      <w:r w:rsidRPr="00DA1696">
        <w:rPr>
          <w:noProof/>
        </w:rPr>
        <w:drawing>
          <wp:anchor distT="0" distB="0" distL="114300" distR="114300" simplePos="0" relativeHeight="251658240" behindDoc="0" locked="0" layoutInCell="1" allowOverlap="0" wp14:anchorId="5887F297" wp14:editId="72726F2F">
            <wp:simplePos x="0" y="0"/>
            <wp:positionH relativeFrom="column">
              <wp:posOffset>3062</wp:posOffset>
            </wp:positionH>
            <wp:positionV relativeFrom="paragraph">
              <wp:posOffset>11540</wp:posOffset>
            </wp:positionV>
            <wp:extent cx="466344" cy="469392"/>
            <wp:effectExtent l="0" t="0" r="0" b="0"/>
            <wp:wrapSquare wrapText="bothSides"/>
            <wp:docPr id="204" name="Picture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Picture 2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696">
        <w:t xml:space="preserve">Polityka wydawnicza Uniwersytetu Kardynała Stefana Wyszyńskiego w Warszawie (UKSW) w stosunku do wydawanych na nim czasopism jest oparta na standardzie </w:t>
      </w:r>
      <w:proofErr w:type="spellStart"/>
      <w:r w:rsidRPr="00DA1696">
        <w:t>Libre</w:t>
      </w:r>
      <w:proofErr w:type="spellEnd"/>
      <w:r w:rsidRPr="00DA1696">
        <w:t xml:space="preserve"> Open Access. Oznacza to, że wszystkie artykuły opublikowane w czasopismach wydawanych na UKSW są ogólnodostępne, tj. są natychmiast i bezpłatnie dostępne do czytania, pobierania i udostępniania. Oznacza to też, że opublikowane materiały mogą być nie tylko czytane, ale także ponownie wykorzystywane przez innych. Artykuły opublikowane zgodnie ze standardami </w:t>
      </w:r>
      <w:proofErr w:type="spellStart"/>
      <w:r w:rsidRPr="00DA1696">
        <w:t>Libre</w:t>
      </w:r>
      <w:proofErr w:type="spellEnd"/>
      <w:r w:rsidRPr="00DA1696">
        <w:t xml:space="preserve"> Open Access mogą być umieszczane na dowolnej witrynie internetowej, mogą być używane do prowadzenia wykładów, mogą być również umieszczane w tzw. czytelniach bez potrzeby uzyskania zezwolenia od autora lub wydawcy. Należy jednak zawsze zamieścić właściwe odniesienie do autora i licencji.  </w:t>
      </w:r>
    </w:p>
    <w:p w14:paraId="71B35E9B" w14:textId="0D6EF036" w:rsidR="00036A55" w:rsidRDefault="00E3440A" w:rsidP="00DA1696">
      <w:pPr>
        <w:spacing w:before="240" w:after="480" w:line="240" w:lineRule="auto"/>
        <w:ind w:left="17" w:hanging="11"/>
      </w:pPr>
      <w:r w:rsidRPr="00DA1696">
        <w:rPr>
          <w:b/>
        </w:rPr>
        <w:t>Polityka w zakresie praw autorskich</w:t>
      </w:r>
      <w:r w:rsidRPr="00DA1696">
        <w:t xml:space="preserve"> materiałów publikowanych w czasopismach wydawanych na UKSW jest następująca: prawa autorskie do opublikowanych materiałów zachowują autorzy. </w:t>
      </w:r>
    </w:p>
    <w:p w14:paraId="54293A83" w14:textId="01BE4AE7" w:rsidR="00036A55" w:rsidRPr="00DA1696" w:rsidRDefault="00E3440A" w:rsidP="00DA1696">
      <w:pPr>
        <w:spacing w:line="240" w:lineRule="auto"/>
      </w:pPr>
      <w:r w:rsidRPr="00DA1696">
        <w:rPr>
          <w:noProof/>
        </w:rPr>
        <w:drawing>
          <wp:anchor distT="0" distB="0" distL="114300" distR="114300" simplePos="0" relativeHeight="251659264" behindDoc="0" locked="0" layoutInCell="1" allowOverlap="0" wp14:anchorId="2B20403B" wp14:editId="0F4CEF54">
            <wp:simplePos x="0" y="0"/>
            <wp:positionH relativeFrom="column">
              <wp:posOffset>-1509</wp:posOffset>
            </wp:positionH>
            <wp:positionV relativeFrom="paragraph">
              <wp:posOffset>-36839</wp:posOffset>
            </wp:positionV>
            <wp:extent cx="950976" cy="344424"/>
            <wp:effectExtent l="0" t="0" r="0" b="0"/>
            <wp:wrapSquare wrapText="bothSides"/>
            <wp:docPr id="206" name="Picture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696">
        <w:t xml:space="preserve">Artykuły opublikowane w czasopismach wydawanych przez UKSW są objęte warunkami </w:t>
      </w:r>
      <w:r w:rsidRPr="00DA1696">
        <w:rPr>
          <w:color w:val="000000"/>
        </w:rPr>
        <w:t xml:space="preserve">licencji </w:t>
      </w:r>
      <w:hyperlink r:id="rId7" w:history="1">
        <w:r w:rsidRPr="00DD2931">
          <w:rPr>
            <w:rStyle w:val="Hipercze"/>
          </w:rPr>
          <w:t xml:space="preserve">Creative </w:t>
        </w:r>
        <w:proofErr w:type="spellStart"/>
        <w:r w:rsidRPr="00DD2931">
          <w:rPr>
            <w:rStyle w:val="Hipercze"/>
          </w:rPr>
          <w:t>Commons</w:t>
        </w:r>
        <w:proofErr w:type="spellEnd"/>
        <w:r w:rsidRPr="00DD2931">
          <w:rPr>
            <w:rStyle w:val="Hipercze"/>
          </w:rPr>
          <w:t xml:space="preserve"> CC BY-ND 4.0</w:t>
        </w:r>
      </w:hyperlink>
      <w:r w:rsidRPr="00DA1696">
        <w:rPr>
          <w:color w:val="000000"/>
        </w:rPr>
        <w:t xml:space="preserve"> Międzynarodowe, która zezwala na:</w:t>
      </w:r>
      <w:r w:rsidRPr="00DA1696">
        <w:t xml:space="preserve"> </w:t>
      </w:r>
    </w:p>
    <w:p w14:paraId="4CB6A781" w14:textId="77777777" w:rsidR="00036A55" w:rsidRPr="00DA1696" w:rsidRDefault="00E3440A" w:rsidP="007E6F16">
      <w:pPr>
        <w:pStyle w:val="Akapitzlist"/>
        <w:spacing w:after="288" w:line="240" w:lineRule="auto"/>
        <w:ind w:left="375" w:right="-12" w:firstLine="0"/>
      </w:pPr>
      <w:r w:rsidRPr="00DA1696">
        <w:rPr>
          <w:b/>
        </w:rPr>
        <w:t>Dzielenie się</w:t>
      </w:r>
      <w:r w:rsidRPr="00DA1696">
        <w:t xml:space="preserve"> – Kopiowanie i rozpowszechnianie utworów w dowolnym medium i formacie; dla dowolnego celu, także komercyjnego. </w:t>
      </w:r>
    </w:p>
    <w:p w14:paraId="1644D9A1" w14:textId="77777777" w:rsidR="00036A55" w:rsidRPr="00DA1696" w:rsidRDefault="00E3440A" w:rsidP="00EA2202">
      <w:pPr>
        <w:spacing w:after="120" w:line="240" w:lineRule="auto"/>
        <w:ind w:left="719" w:hanging="11"/>
      </w:pPr>
      <w:r w:rsidRPr="00DA1696">
        <w:t xml:space="preserve">Na następujących warunkach: </w:t>
      </w:r>
    </w:p>
    <w:p w14:paraId="6A5DC031" w14:textId="0FEBF291" w:rsidR="00036A55" w:rsidRPr="00DA1696" w:rsidRDefault="00E3440A" w:rsidP="00EA2202">
      <w:pPr>
        <w:pStyle w:val="Akapitzlist"/>
        <w:spacing w:after="0" w:line="240" w:lineRule="auto"/>
        <w:ind w:left="1095" w:right="-12" w:firstLine="0"/>
      </w:pPr>
      <w:r w:rsidRPr="00DA1696">
        <w:rPr>
          <w:b/>
          <w:color w:val="222222"/>
        </w:rPr>
        <w:t xml:space="preserve">Uznanie autorstwa </w:t>
      </w:r>
      <w:r w:rsidRPr="00DA1696">
        <w:rPr>
          <w:color w:val="222222"/>
        </w:rPr>
        <w:t>–</w:t>
      </w:r>
      <w:r w:rsidRPr="00DA1696">
        <w:rPr>
          <w:b/>
          <w:color w:val="222222"/>
        </w:rPr>
        <w:t xml:space="preserve"> </w:t>
      </w:r>
      <w:r w:rsidRPr="00DA1696">
        <w:rPr>
          <w:color w:val="333333"/>
        </w:rPr>
        <w:t xml:space="preserve">Utwór należy odpowiednio oznaczyć, podać link do licencji i </w:t>
      </w:r>
      <w:r w:rsidR="00EA2202" w:rsidRPr="00DA1696">
        <w:rPr>
          <w:color w:val="333333"/>
        </w:rPr>
        <w:t>wskazać,</w:t>
      </w:r>
      <w:r w:rsidRPr="00DA1696">
        <w:rPr>
          <w:color w:val="333333"/>
        </w:rPr>
        <w:t xml:space="preserve"> jeśli zostały dokonane w nim zmiany. Można to zrobić w dowolny, rozsądny sposób, o ile nie sugeruje to udzielania prze licencjodawcę poparcia dla osoby dokonującej zmiany  lub sposobu, w jaki wykorzystywany jest ten utwór. </w:t>
      </w:r>
    </w:p>
    <w:p w14:paraId="6BA9CBE9" w14:textId="3B4BA9A0" w:rsidR="00036A55" w:rsidRPr="00DA1696" w:rsidRDefault="00E3440A" w:rsidP="00EA2202">
      <w:pPr>
        <w:pStyle w:val="Akapitzlist"/>
        <w:spacing w:before="120" w:after="280" w:line="240" w:lineRule="auto"/>
        <w:ind w:left="1095" w:right="-11" w:firstLine="0"/>
        <w:contextualSpacing w:val="0"/>
      </w:pPr>
      <w:r w:rsidRPr="00DA1696">
        <w:rPr>
          <w:b/>
          <w:color w:val="333333"/>
        </w:rPr>
        <w:t>Bez utworów zależnych</w:t>
      </w:r>
      <w:r w:rsidRPr="00DA1696">
        <w:rPr>
          <w:color w:val="333333"/>
        </w:rPr>
        <w:t xml:space="preserve"> – Remiksując, przetwarzając lub tworząc na podstawie utworu, nie wolno rozpowszechniać zmodyfikowanych treści. </w:t>
      </w:r>
    </w:p>
    <w:p w14:paraId="6C009F48" w14:textId="77777777" w:rsidR="00036A55" w:rsidRPr="00DA1696" w:rsidRDefault="00E3440A" w:rsidP="00DA1696">
      <w:pPr>
        <w:spacing w:after="290" w:line="240" w:lineRule="auto"/>
      </w:pPr>
      <w:r w:rsidRPr="00DA1696">
        <w:rPr>
          <w:b/>
        </w:rPr>
        <w:t>Polityka ws. deponowania różnych wersji materiałów</w:t>
      </w:r>
      <w:r w:rsidRPr="00DA1696">
        <w:t xml:space="preserve"> przesłanych do redakcji czasopism wydawanych na UKSW jest następująca: autorzy mogą bez żadnego embarga zdeponować: 1) przedłożoną, 2) zaakceptowaną oraz 3) opublikowaną wersję swoich artykułów w instytucjonalnych lub innych wybranych przez siebie repozytoriach. </w:t>
      </w:r>
    </w:p>
    <w:p w14:paraId="592E7502" w14:textId="3308D087" w:rsidR="00DA1696" w:rsidRPr="00DA1696" w:rsidRDefault="00E3440A" w:rsidP="00DA1696">
      <w:pPr>
        <w:spacing w:after="74" w:line="240" w:lineRule="auto"/>
        <w:ind w:left="-5"/>
      </w:pPr>
      <w:r w:rsidRPr="00DA1696">
        <w:rPr>
          <w:b/>
          <w:color w:val="000000"/>
        </w:rPr>
        <w:t>Polityka ws. opłat redakcyjnych</w:t>
      </w:r>
      <w:r w:rsidRPr="00DA1696">
        <w:rPr>
          <w:color w:val="000000"/>
        </w:rPr>
        <w:t>: Autorzy nie ponoszą żadnych kosztów związanych z publikacją swoich artykułów, tj. opłat za przetwarzanie artykułów (</w:t>
      </w:r>
      <w:proofErr w:type="spellStart"/>
      <w:r w:rsidRPr="00DA1696">
        <w:rPr>
          <w:color w:val="000000"/>
        </w:rPr>
        <w:t>APCs</w:t>
      </w:r>
      <w:proofErr w:type="spellEnd"/>
      <w:r w:rsidRPr="00DA1696">
        <w:rPr>
          <w:color w:val="000000"/>
        </w:rPr>
        <w:t xml:space="preserve">), opłat redakcyjnych, opłat za kolor, opłat za zgłoszenia, opłat za stronę, opłat członkowskich, kosztów prenumeraty druku, innych opłat dodatkowych. Autorzy nie otrzymują też żadnej gratyfikacji finansowej za opublikowane materiały. </w:t>
      </w:r>
    </w:p>
    <w:sectPr w:rsidR="00DA1696" w:rsidRPr="00DA1696">
      <w:pgSz w:w="11900" w:h="16840"/>
      <w:pgMar w:top="1440" w:right="842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A37E4"/>
    <w:multiLevelType w:val="hybridMultilevel"/>
    <w:tmpl w:val="B03A3F6E"/>
    <w:lvl w:ilvl="0" w:tplc="C8A4AE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82624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1" w:tplc="603440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624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2" w:tplc="B4C6BD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624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3" w:tplc="87F66E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82624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4" w:tplc="1B68CA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624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5" w:tplc="702E25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624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6" w:tplc="836C5C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82624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7" w:tplc="59325A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624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  <w:lvl w:ilvl="8" w:tplc="255A43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82624"/>
        <w:sz w:val="37"/>
        <w:szCs w:val="37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79353318"/>
    <w:multiLevelType w:val="hybridMultilevel"/>
    <w:tmpl w:val="E802299C"/>
    <w:lvl w:ilvl="0" w:tplc="04150001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 w16cid:durableId="1526946560">
    <w:abstractNumId w:val="0"/>
  </w:num>
  <w:num w:numId="2" w16cid:durableId="163671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A55"/>
    <w:rsid w:val="00015B4F"/>
    <w:rsid w:val="00036A55"/>
    <w:rsid w:val="00115B5A"/>
    <w:rsid w:val="00330D50"/>
    <w:rsid w:val="0064352D"/>
    <w:rsid w:val="00677D39"/>
    <w:rsid w:val="006A7781"/>
    <w:rsid w:val="00712945"/>
    <w:rsid w:val="007E6F16"/>
    <w:rsid w:val="00987412"/>
    <w:rsid w:val="009C0A0D"/>
    <w:rsid w:val="00A428ED"/>
    <w:rsid w:val="00DA1696"/>
    <w:rsid w:val="00DD2931"/>
    <w:rsid w:val="00E278A3"/>
    <w:rsid w:val="00E3440A"/>
    <w:rsid w:val="00EA2202"/>
    <w:rsid w:val="00F1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A29341"/>
  <w15:docId w15:val="{775E7005-EE96-8845-8789-58F192DB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" w:line="270" w:lineRule="auto"/>
      <w:ind w:left="15" w:hanging="10"/>
      <w:jc w:val="both"/>
    </w:pPr>
    <w:rPr>
      <w:rFonts w:ascii="Times New Roman" w:eastAsia="Times New Roman" w:hAnsi="Times New Roman" w:cs="Times New Roman"/>
      <w:color w:val="2826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03" w:line="259" w:lineRule="auto"/>
      <w:ind w:right="11"/>
      <w:jc w:val="center"/>
      <w:outlineLvl w:val="0"/>
    </w:pPr>
    <w:rPr>
      <w:rFonts w:ascii="Times New Roman" w:eastAsia="Times New Roman" w:hAnsi="Times New Roman" w:cs="Times New Roman"/>
      <w:b/>
      <w:color w:val="2826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282624"/>
      <w:sz w:val="24"/>
    </w:rPr>
  </w:style>
  <w:style w:type="paragraph" w:styleId="Akapitzlist">
    <w:name w:val="List Paragraph"/>
    <w:basedOn w:val="Normalny"/>
    <w:uiPriority w:val="34"/>
    <w:qFormat/>
    <w:rsid w:val="00DA16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293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2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d/4.0/dee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zal_3_do_zarz</dc:title>
  <dc:subject/>
  <dc:creator>i.stefanczyk-gaska</dc:creator>
  <cp:keywords/>
  <cp:lastModifiedBy>Ryszard Sadowski</cp:lastModifiedBy>
  <cp:revision>14</cp:revision>
  <dcterms:created xsi:type="dcterms:W3CDTF">2026-05-25T17:51:00Z</dcterms:created>
  <dcterms:modified xsi:type="dcterms:W3CDTF">2026-06-05T13:48:00Z</dcterms:modified>
</cp:coreProperties>
</file>